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ind w:hanging="0" w:left="0" w:right="0"/>
        <w:jc w:val="both"/>
        <w:rPr>
          <w:rFonts w:ascii="Times New Roman" w:hAnsi="Times New Roman" w:cs="Times New Roman"/>
        </w:rPr>
      </w:pPr>
      <w:r>
        <w:rPr>
          <w:rFonts w:cs="Times New Roman" w:ascii="Times New Roman" w:hAnsi="Times New Roman"/>
          <w:b/>
          <w:bCs/>
          <w:sz w:val="28"/>
          <w:szCs w:val="28"/>
        </w:rPr>
        <w:t>Informativa sul trattamento dei dati personali ai sensi degli artt. 13 e 14 del Regolamento (UE) 2016/679 per l’accesso telematico alla Banca dati demografica del Comune di Eraclea, per pubbliche amministrazioni e gestori di pubblici servizi.</w:t>
      </w:r>
    </w:p>
    <w:p>
      <w:pPr>
        <w:pStyle w:val="Normal"/>
        <w:spacing w:lineRule="auto" w:line="240" w:before="0" w:after="0"/>
        <w:ind w:hanging="0" w:left="0" w:right="0"/>
        <w:jc w:val="both"/>
        <w:rPr>
          <w:rFonts w:ascii="Times New Roman" w:hAnsi="Times New Roman" w:cs="Times New Roman"/>
        </w:rPr>
      </w:pPr>
      <w:r>
        <w:rPr>
          <w:rFonts w:cs="Times New Roman" w:ascii="Times New Roman" w:hAnsi="Times New Roman"/>
        </w:rPr>
        <w:t xml:space="preserve"> </w:t>
      </w:r>
    </w:p>
    <w:p>
      <w:pPr>
        <w:pStyle w:val="Normal"/>
        <w:spacing w:lineRule="auto" w:line="240" w:before="0" w:after="0"/>
        <w:ind w:hanging="0" w:left="0" w:right="0"/>
        <w:jc w:val="both"/>
        <w:rPr/>
      </w:pPr>
      <w:r>
        <w:rPr>
          <w:rFonts w:cs="Times New Roman" w:ascii="Times New Roman" w:hAnsi="Times New Roman"/>
          <w:sz w:val="24"/>
          <w:szCs w:val="24"/>
        </w:rPr>
        <w:t xml:space="preserve">Il Comune di </w:t>
      </w:r>
      <w:r>
        <w:rPr>
          <w:rFonts w:eastAsia="Times New Roman" w:cs="Times New Roman" w:ascii="Times New Roman" w:hAnsi="Times New Roman"/>
          <w:color w:val="auto"/>
          <w:sz w:val="24"/>
          <w:szCs w:val="24"/>
          <w:lang w:val="it-IT" w:bidi="ar-SA"/>
        </w:rPr>
        <w:t>Eraclea</w:t>
      </w:r>
      <w:r>
        <w:rPr>
          <w:rFonts w:cs="Times New Roman" w:ascii="Times New Roman" w:hAnsi="Times New Roman"/>
          <w:sz w:val="24"/>
          <w:szCs w:val="24"/>
        </w:rPr>
        <w:t>, con sede in (</w:t>
      </w:r>
      <w:r>
        <w:rPr>
          <w:rFonts w:eastAsia="Times New Roman" w:cs="Times New Roman" w:ascii="Times New Roman" w:hAnsi="Times New Roman"/>
          <w:color w:val="auto"/>
          <w:sz w:val="24"/>
          <w:szCs w:val="24"/>
          <w:lang w:val="it-IT" w:bidi="ar-SA"/>
        </w:rPr>
        <w:t>30020</w:t>
      </w:r>
      <w:r>
        <w:rPr>
          <w:rFonts w:cs="Times New Roman" w:ascii="Times New Roman" w:hAnsi="Times New Roman"/>
          <w:sz w:val="24"/>
          <w:szCs w:val="24"/>
        </w:rPr>
        <w:t xml:space="preserve">) </w:t>
      </w:r>
      <w:r>
        <w:rPr>
          <w:rFonts w:eastAsia="Times New Roman" w:cs="Times New Roman" w:ascii="Times New Roman" w:hAnsi="Times New Roman"/>
          <w:color w:val="auto"/>
          <w:sz w:val="24"/>
          <w:szCs w:val="24"/>
          <w:lang w:val="it-IT" w:bidi="ar-SA"/>
        </w:rPr>
        <w:t>Eraclea</w:t>
      </w:r>
      <w:r>
        <w:rPr>
          <w:rFonts w:cs="Times New Roman" w:ascii="Times New Roman" w:hAnsi="Times New Roman"/>
          <w:sz w:val="24"/>
          <w:szCs w:val="24"/>
        </w:rPr>
        <w:t xml:space="preserve">, </w:t>
      </w:r>
      <w:r>
        <w:rPr>
          <w:rFonts w:eastAsia="Times New Roman" w:cs="Times New Roman" w:ascii="Times New Roman" w:hAnsi="Times New Roman"/>
          <w:color w:val="auto"/>
          <w:sz w:val="24"/>
          <w:szCs w:val="24"/>
          <w:lang w:val="it-IT" w:bidi="ar-SA"/>
        </w:rPr>
        <w:t>Piazza Garibaldi 54</w:t>
      </w:r>
      <w:r>
        <w:rPr>
          <w:rFonts w:cs="Times New Roman" w:ascii="Times New Roman" w:hAnsi="Times New Roman"/>
          <w:sz w:val="24"/>
          <w:szCs w:val="24"/>
        </w:rPr>
        <w:t xml:space="preserve">, in qualità di Titolare del trattamento (di seguito anche il “Titolare”), tutela e garantisce la riservatezza dei dati personali dell’interessato e assicura la protezione necessaria da ogni evento che possa metterli a rischio di violazione. Il Titolare mette in pratica al tal fine policy e prassi, aventi riguardo alla raccolta e all’utilizzo dei dati personali e all’esercizio dei diritti che sono riconosciuti all’interessato dalla normativa applicabile. Aggiorna altresì, le policy e le prassi adottate per la protezione dei dati personali ogni volta che ciò si renda necessario e comunque in caso di modifiche normative e organizzative che possano incidere sui trattamenti dei dati personali degli interessati. </w:t>
      </w:r>
    </w:p>
    <w:p>
      <w:pPr>
        <w:pStyle w:val="Normal"/>
        <w:spacing w:lineRule="auto" w:line="240" w:before="0" w:after="0"/>
        <w:ind w:hanging="0" w:left="0" w:right="0"/>
        <w:jc w:val="both"/>
        <w:rPr/>
      </w:pPr>
      <w:r>
        <w:rPr>
          <w:rFonts w:cs="Times New Roman" w:ascii="Times New Roman" w:hAnsi="Times New Roman"/>
          <w:sz w:val="24"/>
          <w:szCs w:val="24"/>
        </w:rPr>
        <w:t>Il Titolare ha nominato un responsabile della protezione dei dati o data protection officer (RPT o DPO), che l’interessato può contattare a</w:t>
      </w:r>
      <w:r>
        <w:rPr>
          <w:rFonts w:cs="Times New Roman" w:ascii="Times New Roman" w:hAnsi="Times New Roman"/>
          <w:sz w:val="24"/>
          <w:szCs w:val="24"/>
        </w:rPr>
        <w:t>i seguenti recapiti:</w:t>
      </w:r>
    </w:p>
    <w:p>
      <w:pPr>
        <w:pStyle w:val="Normal"/>
        <w:spacing w:lineRule="auto" w:line="240" w:before="0" w:after="0"/>
        <w:ind w:hanging="0" w:left="708" w:right="0"/>
        <w:jc w:val="both"/>
        <w:rPr>
          <w:rFonts w:ascii="Times New Roman" w:hAnsi="Times New Roman" w:cs="Times New Roman"/>
          <w:sz w:val="24"/>
          <w:szCs w:val="24"/>
        </w:rPr>
      </w:pPr>
      <w:r>
        <w:rPr>
          <w:rFonts w:cs="Times New Roman" w:ascii="Times New Roman" w:hAnsi="Times New Roman"/>
          <w:sz w:val="24"/>
          <w:szCs w:val="24"/>
        </w:rPr>
        <w:t>Sede legale: Via Torino, 180/A – 30172 Venezia Mestre</w:t>
      </w:r>
    </w:p>
    <w:p>
      <w:pPr>
        <w:pStyle w:val="Normal"/>
        <w:spacing w:lineRule="auto" w:line="240" w:before="0" w:after="0"/>
        <w:ind w:hanging="0" w:left="708" w:right="0"/>
        <w:jc w:val="both"/>
        <w:rPr>
          <w:rFonts w:ascii="Times New Roman" w:hAnsi="Times New Roman" w:cs="Times New Roman"/>
          <w:sz w:val="24"/>
          <w:szCs w:val="24"/>
        </w:rPr>
      </w:pPr>
      <w:r>
        <w:rPr>
          <w:rFonts w:cs="Times New Roman" w:ascii="Times New Roman" w:hAnsi="Times New Roman"/>
          <w:sz w:val="24"/>
          <w:szCs w:val="24"/>
        </w:rPr>
        <w:t xml:space="preserve">Indirizzo mail: </w:t>
      </w:r>
      <w:hyperlink r:id="rId2">
        <w:r>
          <w:rPr>
            <w:rStyle w:val="Hyperlink"/>
            <w:rFonts w:cs="Times New Roman" w:ascii="Times New Roman" w:hAnsi="Times New Roman"/>
            <w:sz w:val="24"/>
            <w:szCs w:val="24"/>
          </w:rPr>
          <w:t>dpo@veronicadeirossi.com</w:t>
        </w:r>
      </w:hyperlink>
      <w:r>
        <w:rPr>
          <w:rFonts w:cs="Times New Roman" w:ascii="Times New Roman" w:hAnsi="Times New Roman"/>
          <w:sz w:val="24"/>
          <w:szCs w:val="24"/>
        </w:rPr>
        <w:t xml:space="preserve"> </w:t>
      </w:r>
    </w:p>
    <w:p>
      <w:pPr>
        <w:pStyle w:val="Normal"/>
        <w:spacing w:lineRule="auto" w:line="240" w:before="0" w:after="0"/>
        <w:ind w:hanging="0" w:left="708" w:right="0"/>
        <w:jc w:val="both"/>
        <w:rPr>
          <w:rFonts w:ascii="Times New Roman" w:hAnsi="Times New Roman" w:cs="Times New Roman"/>
          <w:sz w:val="24"/>
          <w:szCs w:val="24"/>
        </w:rPr>
      </w:pPr>
      <w:r>
        <w:rPr>
          <w:rFonts w:cs="Times New Roman" w:ascii="Times New Roman" w:hAnsi="Times New Roman"/>
          <w:sz w:val="24"/>
          <w:szCs w:val="24"/>
        </w:rPr>
        <w:t xml:space="preserve">Indirizzo pec: </w:t>
      </w:r>
      <w:hyperlink r:id="rId3">
        <w:r>
          <w:rPr>
            <w:rStyle w:val="Hyperlink"/>
            <w:rFonts w:cs="Times New Roman" w:ascii="Times New Roman" w:hAnsi="Times New Roman"/>
            <w:sz w:val="24"/>
            <w:szCs w:val="24"/>
          </w:rPr>
          <w:t>veronica.deirossi@venezia.pecavvocati.it</w:t>
        </w:r>
      </w:hyperlink>
      <w:r>
        <w:rPr>
          <w:rFonts w:cs="Times New Roman" w:ascii="Times New Roman" w:hAnsi="Times New Roman"/>
          <w:sz w:val="24"/>
          <w:szCs w:val="24"/>
        </w:rPr>
        <w:t xml:space="preserve"> </w:t>
      </w:r>
    </w:p>
    <w:p>
      <w:pPr>
        <w:pStyle w:val="Normal"/>
        <w:spacing w:lineRule="auto" w:line="240" w:before="0" w:after="0"/>
        <w:ind w:hanging="0" w:left="708" w:right="0"/>
        <w:jc w:val="both"/>
        <w:rPr>
          <w:rFonts w:ascii="Times New Roman" w:hAnsi="Times New Roman" w:cs="Times New Roman"/>
          <w:sz w:val="24"/>
          <w:szCs w:val="24"/>
        </w:rPr>
      </w:pPr>
      <w:r>
        <w:rPr>
          <w:rFonts w:cs="Times New Roman" w:ascii="Times New Roman" w:hAnsi="Times New Roman"/>
          <w:sz w:val="24"/>
          <w:szCs w:val="24"/>
        </w:rPr>
        <w:t>Numero di telefono: 041 928221</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Con la presente, il Titolare del trattamento informa gli interessati, in merito a: </w:t>
      </w:r>
    </w:p>
    <w:p>
      <w:pPr>
        <w:pStyle w:val="Normal"/>
        <w:spacing w:lineRule="auto" w:line="240" w:before="0" w:after="0"/>
        <w:ind w:hanging="0" w:left="0" w:right="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ind w:hanging="0" w:left="0" w:right="0"/>
        <w:jc w:val="both"/>
        <w:rPr>
          <w:rFonts w:ascii="Times New Roman" w:hAnsi="Times New Roman" w:cs="Times New Roman"/>
          <w:b/>
          <w:bCs/>
          <w:sz w:val="24"/>
          <w:szCs w:val="24"/>
        </w:rPr>
      </w:pPr>
      <w:r>
        <w:rPr>
          <w:rFonts w:cs="Times New Roman" w:ascii="Times New Roman" w:hAnsi="Times New Roman"/>
          <w:b/>
          <w:bCs/>
          <w:sz w:val="24"/>
          <w:szCs w:val="24"/>
        </w:rPr>
        <w:t>1) Le categorie di dati trattati</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Il Titolare del trattamento raccoglie e riceve dati che riguardano gli interessati, quali: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identificativi, anagrafici, di recapito e di contatto, compresi numeri telefonici e indirizzi di posta elettronica. I dati relativi ai recapiti telefonici ed informatici (email e/o PEC), non devono essere forniti obbligatoriamente, e verranno utilizzati dal Servizio per lo svolgimento dell’attività di competenza e per lo svolgimento di funzioni istituzionali,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idonei a rivelare l’origine etnica, l’appartenenza a partiti politici, l’orientamento e la vita sessuale, etc.) e idonei a rivelare lo stato di salute (es. eventi e patologie pregresse)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relativi all’attività professionale e lavorativa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relativi alla posizione degli interessati nei confronti del servizio militare e civile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dati relativi alle candidature a cariche elettive</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relativi ai beni e alle proprietà in possesso dell’interessato e censite dal Titolare  dati relativi alla situazione e alla condizione familiare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relativi a procedimenti giudiziari e a condanne penali e a reati o alle connesse misure di sicurezza </w:t>
      </w:r>
    </w:p>
    <w:p>
      <w:pPr>
        <w:pStyle w:val="Normal"/>
        <w:numPr>
          <w:ilvl w:val="0"/>
          <w:numId w:val="1"/>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dati informatici (log di accesso, indirizzo IP, etc.) derivati dall’uso di piattaforme di pertinenza del Titolare, accessibili mediante i siti istituzionali o con l’ausilio di tecnologie messe in opera per la fruizione e la gestione dei servizi esposti in rete (es. Sistema pubblico di identità digitale – SPID, Carta nazionale dei servizi - CNS)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Il conferimento dei dati è necessario, il mancato rilascio comporta per il Titolare l’impossibilità di dar seguito alle richieste degli utenti e all’esecuzione delle attività dipendenti dal servizio richiesto. I dati dell’interessato possono essere raccolti anche presso terzi quali, a titolo esemplificativo: </w:t>
      </w:r>
    </w:p>
    <w:p>
      <w:pPr>
        <w:pStyle w:val="Normal"/>
        <w:numPr>
          <w:ilvl w:val="0"/>
          <w:numId w:val="2"/>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provider di servizi informatici; </w:t>
      </w:r>
    </w:p>
    <w:p>
      <w:pPr>
        <w:pStyle w:val="Normal"/>
        <w:numPr>
          <w:ilvl w:val="0"/>
          <w:numId w:val="2"/>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familiari/conviventi/rappresentanti/eredi/tutori/delegati dell’interessato;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e i dati che riguardano l’interessato possono essere ottenuti mediante la consultazione di: </w:t>
      </w:r>
    </w:p>
    <w:p>
      <w:pPr>
        <w:pStyle w:val="Normal"/>
        <w:numPr>
          <w:ilvl w:val="0"/>
          <w:numId w:val="3"/>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elenchi e banche dati tenute da enti pubblici o equiparati o sotto il controllo dell’autorità pubblica in base a specifica normativa nazionale. </w:t>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2) Le finalità del trattamento e le relative basi giuridiche</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I dati personali saranno trattati per le finalità che seguono: </w:t>
      </w:r>
    </w:p>
    <w:tbl>
      <w:tblPr>
        <w:tblW w:w="9638" w:type="dxa"/>
        <w:jc w:val="left"/>
        <w:tblInd w:w="57" w:type="dxa"/>
        <w:tblLayout w:type="fixed"/>
        <w:tblCellMar>
          <w:top w:w="55" w:type="dxa"/>
          <w:left w:w="55" w:type="dxa"/>
          <w:bottom w:w="55" w:type="dxa"/>
          <w:right w:w="55" w:type="dxa"/>
        </w:tblCellMar>
      </w:tblPr>
      <w:tblGrid>
        <w:gridCol w:w="4818"/>
        <w:gridCol w:w="4819"/>
      </w:tblGrid>
      <w:tr>
        <w:trPr/>
        <w:tc>
          <w:tcPr>
            <w:tcW w:w="4818" w:type="dxa"/>
            <w:tcBorders>
              <w:top w:val="single" w:sz="2" w:space="0" w:color="000000"/>
              <w:left w:val="single" w:sz="2" w:space="0" w:color="000000"/>
              <w:bottom w:val="single" w:sz="2" w:space="0" w:color="000000"/>
            </w:tcBorders>
            <w:shd w:fill="auto" w:val="clea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Finalità</w:t>
            </w:r>
          </w:p>
        </w:tc>
        <w:tc>
          <w:tcPr>
            <w:tcW w:w="4819" w:type="dxa"/>
            <w:tcBorders>
              <w:top w:val="single" w:sz="2" w:space="0" w:color="000000"/>
              <w:left w:val="single" w:sz="2" w:space="0" w:color="000000"/>
              <w:bottom w:val="single" w:sz="2" w:space="0" w:color="000000"/>
              <w:right w:val="single" w:sz="2" w:space="0" w:color="000000"/>
            </w:tcBorders>
            <w:shd w:fill="auto" w:val="clea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Base giuridica</w:t>
            </w:r>
          </w:p>
        </w:tc>
      </w:tr>
      <w:tr>
        <w:trPr/>
        <w:tc>
          <w:tcPr>
            <w:tcW w:w="4818" w:type="dxa"/>
            <w:tcBorders>
              <w:left w:val="single" w:sz="2" w:space="0" w:color="000000"/>
              <w:bottom w:val="single" w:sz="2" w:space="0" w:color="000000"/>
            </w:tcBorders>
            <w:shd w:fill="auto" w:val="clear"/>
          </w:tcPr>
          <w:p>
            <w:pPr>
              <w:pStyle w:val="Contenutotabellauser"/>
              <w:numPr>
                <w:ilvl w:val="0"/>
                <w:numId w:val="4"/>
              </w:numPr>
              <w:spacing w:lineRule="auto" w:line="240" w:before="0" w:after="0"/>
              <w:jc w:val="both"/>
              <w:rPr/>
            </w:pPr>
            <w:r>
              <w:rPr>
                <w:rFonts w:ascii="Times New Roman" w:hAnsi="Times New Roman"/>
                <w:sz w:val="22"/>
                <w:szCs w:val="22"/>
              </w:rPr>
              <w:t xml:space="preserve">a) lo svolgimento dei servizi gestiti dal Titolare nell’esercizio delle sue funzioni istituzionali e altresì il compimento di tutte le attività strumentali e accessorie a quelle principali e comunque necessarie al perseguimento delle finalità dette (la registrazione, l’archiviazione dei dati, la consultazione e la conservazione, etc.) </w:t>
            </w:r>
          </w:p>
          <w:p>
            <w:pPr>
              <w:pStyle w:val="Contenutotabellauser"/>
              <w:numPr>
                <w:ilvl w:val="0"/>
                <w:numId w:val="4"/>
              </w:numPr>
              <w:spacing w:lineRule="auto" w:line="240" w:before="0" w:after="0"/>
              <w:jc w:val="both"/>
              <w:rPr>
                <w:rFonts w:ascii="Times New Roman" w:hAnsi="Times New Roman"/>
                <w:sz w:val="22"/>
                <w:szCs w:val="22"/>
              </w:rPr>
            </w:pPr>
            <w:r>
              <w:rPr>
                <w:rFonts w:ascii="Times New Roman" w:hAnsi="Times New Roman"/>
                <w:sz w:val="22"/>
                <w:szCs w:val="22"/>
              </w:rPr>
              <w:t xml:space="preserve">il trasferimento dei dati contenuti nei registri anagrafici verso i paesi di residenza dei cittadini richiedenti </w:t>
            </w:r>
          </w:p>
        </w:tc>
        <w:tc>
          <w:tcPr>
            <w:tcW w:w="4819" w:type="dxa"/>
            <w:vMerge w:val="restart"/>
            <w:tcBorders>
              <w:left w:val="single" w:sz="2" w:space="0" w:color="000000"/>
              <w:bottom w:val="single" w:sz="2" w:space="0" w:color="000000"/>
              <w:right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Esecuzione di un compito di interesse pubblico o connesso all'esercizio di pubblici poteri di cui è investito il Titolare Adozione dei provvedimenti amministrativi e gestione dei relativi procedimenti Adempimento di obblighi previsti da leggi, regolamenti e dalla normativa comunitaria (compresa quella di cui al GDPR, e nello specifico dell’art. 49, par. 1, lett. g), nonché di quelli dipendenti da disposizioni impartite da autorità a ciò legittimate e da organi di vigilanza e controllo; in particolare, e indicativamente, l’adempimento della vigente normativa in materia di anagrafe e stato civile, di consultazioni elettorali e referendarie, leva militare e giudici popolari Adempimento degli obblighi di legge e di regolamento conseguenti, quali a titolo esemplificativo e non esaustivo, quelli di cui a: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il D.L. n. 78/2015, convertito, con modificazioni, dalla Legge n. 125/2015 e regolamenti attuativi in materia di emissione della carta di identità elettronica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a Legge n. 76/2016, e regolamenti attuativi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il D.P.R. n. 126/2015</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il D.P.C.M. n. 109/2013 e regolamenti attuativi dell’ANPR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il D.PC.M. del 10.11.2014 e regolamenti attuativi del Sistema pubblico di identità digitale - SPID - la Legge n. 241/1990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la Legge n. 190/2012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l D.lgs. n. 82/2005 e relative regole tecniche </w:t>
            </w:r>
          </w:p>
          <w:p>
            <w:pPr>
              <w:pStyle w:val="Contenutotabellauser"/>
              <w:numPr>
                <w:ilvl w:val="0"/>
                <w:numId w:val="5"/>
              </w:numPr>
              <w:spacing w:lineRule="auto" w:line="240" w:before="0" w:after="0"/>
              <w:jc w:val="both"/>
              <w:rPr/>
            </w:pPr>
            <w:r>
              <w:rPr>
                <w:rFonts w:ascii="Times New Roman" w:hAnsi="Times New Roman"/>
              </w:rPr>
              <w:t xml:space="preserve">il D.P.R. n. 445/2000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la Legge n. 18/1975</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la Legge n.184/1983 (art.31)</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il D.Lgs. n. 271/1989 (art.39)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il D.L. n. 223/2006 convertito con Legge n. 248/2006 (art.7)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la Legge n.183/2011 (art.15)</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il D.M del 12/02/2014</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gli artt. 139 e ss. c.p.c. aventi riguardo le notifiche in generale e quelle presso la Casa Comunale </w:t>
            </w:r>
          </w:p>
          <w:p>
            <w:pPr>
              <w:pStyle w:val="Contenutotabellauser"/>
              <w:numPr>
                <w:ilvl w:val="0"/>
                <w:numId w:val="5"/>
              </w:numPr>
              <w:spacing w:lineRule="auto" w:line="240" w:before="0" w:after="0"/>
              <w:jc w:val="both"/>
              <w:rPr>
                <w:rFonts w:ascii="Times New Roman" w:hAnsi="Times New Roman"/>
              </w:rPr>
            </w:pPr>
            <w:r>
              <w:rPr>
                <w:rFonts w:ascii="Times New Roman" w:hAnsi="Times New Roman"/>
              </w:rPr>
              <w:t xml:space="preserve">i regolamenti comunali di interesse </w:t>
            </w:r>
          </w:p>
        </w:tc>
      </w:tr>
      <w:tr>
        <w:trPr/>
        <w:tc>
          <w:tcPr>
            <w:tcW w:w="4818" w:type="dxa"/>
            <w:tcBorders>
              <w:left w:val="single" w:sz="2" w:space="0" w:color="000000"/>
              <w:bottom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b) la comunicazione a terzi e/o destinatari, quali: </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 xml:space="preserve">Enti e organismi pubblici di riferimento </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Provider servizi informatici</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 xml:space="preserve">Organi di pubblica sicurezza </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 xml:space="preserve">Polo archivistico regionale o Archivio comunale di deposito </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 xml:space="preserve">Richiedenti legittimati (es. avvocati, delegati etc.) </w:t>
            </w:r>
          </w:p>
          <w:p>
            <w:pPr>
              <w:pStyle w:val="Contenutotabellauser"/>
              <w:numPr>
                <w:ilvl w:val="0"/>
                <w:numId w:val="6"/>
              </w:numPr>
              <w:spacing w:lineRule="auto" w:line="240" w:before="0" w:after="0"/>
              <w:jc w:val="both"/>
              <w:rPr>
                <w:rFonts w:ascii="Times New Roman" w:hAnsi="Times New Roman"/>
              </w:rPr>
            </w:pPr>
            <w:r>
              <w:rPr>
                <w:rFonts w:ascii="Times New Roman" w:hAnsi="Times New Roman"/>
              </w:rPr>
              <w:t>Banche dati pubbliche (ANPR)</w:t>
            </w:r>
          </w:p>
          <w:p>
            <w:pPr>
              <w:pStyle w:val="Contenutotabellauser"/>
              <w:spacing w:lineRule="auto" w:line="240" w:before="0" w:after="0"/>
              <w:jc w:val="both"/>
              <w:rPr>
                <w:rFonts w:ascii="Times New Roman" w:hAnsi="Times New Roman"/>
              </w:rPr>
            </w:pPr>
            <w:r>
              <w:rPr>
                <w:rFonts w:ascii="Times New Roman" w:hAnsi="Times New Roman"/>
              </w:rPr>
              <w:t xml:space="preserve">N.B. Il relativo trattamento non richiede il consenso dell’interessato nel caso in cui lo stesso avvenga a fronte di obblighi di legge o per dar corso agli obblighi derivanti dal rapporto instaurato o nel caso dovesse ricorrere altra ipotesi di esclusione, allorché espressamente prevista o dipendente dalla normativa e dai regolamenti applicati dal Titolare, o anche se esso è svolto mediante soggetti terzi individuati quali responsabili del trattamento </w:t>
            </w:r>
          </w:p>
        </w:tc>
        <w:tc>
          <w:tcPr>
            <w:tcW w:w="4819" w:type="dxa"/>
            <w:vMerge w:val="continue"/>
            <w:tcBorders>
              <w:left w:val="single" w:sz="2" w:space="0" w:color="000000"/>
              <w:bottom w:val="single" w:sz="2" w:space="0" w:color="000000"/>
              <w:right w:val="single" w:sz="2" w:space="0" w:color="000000"/>
            </w:tcBorders>
            <w:shd w:fill="auto" w:val="clear"/>
          </w:tcPr>
          <w:p>
            <w:pPr>
              <w:pStyle w:val="Normal"/>
              <w:widowControl/>
              <w:bidi w:val="0"/>
              <w:spacing w:lineRule="auto" w:line="276" w:before="0" w:after="200"/>
              <w:rPr/>
            </w:pPr>
            <w:r>
              <w:rPr/>
            </w:r>
          </w:p>
        </w:tc>
      </w:tr>
      <w:tr>
        <w:trPr/>
        <w:tc>
          <w:tcPr>
            <w:tcW w:w="4818" w:type="dxa"/>
            <w:tcBorders>
              <w:left w:val="single" w:sz="2" w:space="0" w:color="000000"/>
              <w:bottom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c) la diffusione </w:t>
            </w:r>
          </w:p>
        </w:tc>
        <w:tc>
          <w:tcPr>
            <w:tcW w:w="4819" w:type="dxa"/>
            <w:tcBorders>
              <w:left w:val="single" w:sz="2" w:space="0" w:color="000000"/>
              <w:bottom w:val="single" w:sz="2" w:space="0" w:color="000000"/>
              <w:right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Adempimento di specifici obblighi di legge e in particolare di quelli di cui al D.lgs. n. 33/2013 Adempimento di specifici obblighi di legge aventi riguardo la pubblicità legale mediante albo pretorio on line (Legge n. 69/2009 e relativi regolamenti attuativi) Adempimento degli obblighi dipendenti dalla messa in opera delle banche dati pubbliche (es. ANPR) </w:t>
            </w:r>
          </w:p>
        </w:tc>
      </w:tr>
      <w:tr>
        <w:trPr/>
        <w:tc>
          <w:tcPr>
            <w:tcW w:w="4818" w:type="dxa"/>
            <w:tcBorders>
              <w:left w:val="single" w:sz="2" w:space="0" w:color="000000"/>
              <w:bottom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d) l’archiviazione per interesse pubblico e per scopi statistici </w:t>
            </w:r>
          </w:p>
        </w:tc>
        <w:tc>
          <w:tcPr>
            <w:tcW w:w="4819" w:type="dxa"/>
            <w:tcBorders>
              <w:left w:val="single" w:sz="2" w:space="0" w:color="000000"/>
              <w:bottom w:val="single" w:sz="2" w:space="0" w:color="000000"/>
              <w:right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Esecuzione di compiti di interesse pubblico </w:t>
            </w:r>
          </w:p>
        </w:tc>
      </w:tr>
      <w:tr>
        <w:trPr/>
        <w:tc>
          <w:tcPr>
            <w:tcW w:w="4818" w:type="dxa"/>
            <w:tcBorders>
              <w:left w:val="single" w:sz="2" w:space="0" w:color="000000"/>
              <w:bottom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e) l’attività di sicurezza informatica, concretantesi ne:</w:t>
            </w:r>
          </w:p>
          <w:p>
            <w:pPr>
              <w:pStyle w:val="Contenutotabellauser"/>
              <w:numPr>
                <w:ilvl w:val="0"/>
                <w:numId w:val="7"/>
              </w:numPr>
              <w:spacing w:lineRule="auto" w:line="240" w:before="0" w:after="0"/>
              <w:jc w:val="both"/>
              <w:rPr>
                <w:rFonts w:ascii="Times New Roman" w:hAnsi="Times New Roman"/>
              </w:rPr>
            </w:pPr>
            <w:r>
              <w:rPr>
                <w:rFonts w:ascii="Times New Roman" w:hAnsi="Times New Roman"/>
              </w:rPr>
              <w:t>la gestione della strumentazione HW e SW in uso al Titolare</w:t>
            </w:r>
          </w:p>
          <w:p>
            <w:pPr>
              <w:pStyle w:val="Contenutotabellauser"/>
              <w:numPr>
                <w:ilvl w:val="0"/>
                <w:numId w:val="7"/>
              </w:numPr>
              <w:spacing w:lineRule="auto" w:line="240" w:before="0" w:after="0"/>
              <w:jc w:val="both"/>
              <w:rPr>
                <w:rFonts w:ascii="Times New Roman" w:hAnsi="Times New Roman"/>
              </w:rPr>
            </w:pPr>
            <w:r>
              <w:rPr>
                <w:rFonts w:ascii="Times New Roman" w:hAnsi="Times New Roman"/>
              </w:rPr>
              <w:t xml:space="preserve">il controllo e monitoraggio dei servizi esposti in rete e sulle piattaforme di pertinenza del Titolare </w:t>
            </w:r>
          </w:p>
          <w:p>
            <w:pPr>
              <w:pStyle w:val="Contenutotabellauser"/>
              <w:numPr>
                <w:ilvl w:val="0"/>
                <w:numId w:val="7"/>
              </w:numPr>
              <w:spacing w:lineRule="auto" w:line="240" w:before="0" w:after="0"/>
              <w:jc w:val="both"/>
              <w:rPr/>
            </w:pPr>
            <w:r>
              <w:rPr>
                <w:rFonts w:ascii="Times New Roman" w:hAnsi="Times New Roman"/>
              </w:rPr>
              <w:t xml:space="preserve">l’implementazione procedure di rilevazione e notificazione delle violazioni di dati personali (data breach) </w:t>
            </w:r>
            <w:r>
              <w:rPr/>
              <w:t xml:space="preserve"> </w:t>
            </w:r>
          </w:p>
        </w:tc>
        <w:tc>
          <w:tcPr>
            <w:tcW w:w="4819" w:type="dxa"/>
            <w:tcBorders>
              <w:left w:val="single" w:sz="2" w:space="0" w:color="000000"/>
              <w:bottom w:val="single" w:sz="2" w:space="0" w:color="000000"/>
              <w:right w:val="single" w:sz="2" w:space="0" w:color="000000"/>
            </w:tcBorders>
            <w:shd w:fill="auto" w:val="clear"/>
          </w:tcPr>
          <w:p>
            <w:pPr>
              <w:pStyle w:val="Contenutotabellauser"/>
              <w:spacing w:lineRule="auto" w:line="240" w:before="0" w:after="0"/>
              <w:jc w:val="both"/>
              <w:rPr>
                <w:rFonts w:ascii="Times New Roman" w:hAnsi="Times New Roman"/>
              </w:rPr>
            </w:pPr>
            <w:r>
              <w:rPr>
                <w:rFonts w:ascii="Times New Roman" w:hAnsi="Times New Roman"/>
              </w:rPr>
              <w:t xml:space="preserve">Adempimento di obblighi di legge (rilevazione e notificazione di eventi di personal data breach ex art. 33 del GDPR) e dipendenti altresì dalla normativa tecnica e regolamentare anche di derivazione ministeriale e, altresì, dalle linee guida dell’Agenzia per l’Italia digitale - AgID </w:t>
            </w:r>
          </w:p>
        </w:tc>
      </w:tr>
    </w:tbl>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3) Le modalità di trattamento dei dati personali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I dati verranno utilizzati per le suddette finalità, con le necessarie garanzie di sicurezza, mediante modalità anche informatizzate o telematiche a ciò strettamente funzionali, dal Titolare e dai soggetti da questi autorizzati e dai provider di sistemi informatici che agiscono, anche per il tramite di soggetti sottoposti alla loro autorità, quali responsabili del trattamento dei dati personali così individuati ai sensi dell’art. 28 del Regolamento. Il Titolare verifica periodicamente gli strumenti mediante i quali i dati dell’interessato vengono trattati e le misure di sicurezza per essi previste di cui prevede l’aggiornamento costante, nonché la pertinenza dei dati personali trattati alle finalità perseguite; verifica, anche per il tramite dei soggetti autorizzati al trattamento, che non siano raccolti, trattati, archiviati o conservati dati personali di cui non sia necessario il trattamento o le cui finalità siano nel caso esaurite; verifica che i dati siano conservati con la garanzia di integrità e di autenticità e del loro uso per le finalità dei trattamenti effettivamente svolti. Altresì garantisce che i dati che, anche a seguito delle verifiche, risultino eccedenti o non pertinenti non saranno utilizzati salvo che per l'eventuale conservazione, a norma di legge, dell'atto o del documento che li contiene. </w:t>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4) Il luogo e le modalità di conservazione dei dati personali</w:t>
      </w:r>
    </w:p>
    <w:p>
      <w:pPr>
        <w:pStyle w:val="Normal"/>
        <w:spacing w:lineRule="auto" w:line="240" w:before="0" w:after="0"/>
        <w:jc w:val="both"/>
        <w:rPr/>
      </w:pPr>
      <w:r>
        <w:rPr>
          <w:rFonts w:cs="Times New Roman" w:ascii="Times New Roman" w:hAnsi="Times New Roman"/>
          <w:sz w:val="24"/>
          <w:szCs w:val="24"/>
        </w:rPr>
        <w:t xml:space="preserve">I dati sono conservati in archivi cartacei, informatici ed elettronici, situati all’interno dello spazio economico europeo, e sono assicurate misure di sicurezza adeguate. In caso di trasferimento all’estero dei dati personali (in specie quelli risultanti dalle certificazioni anagrafiche), esso avverrà in osservanza degli obblighi di cui all’art. 49, par. 1, lett. g) del GDPR per cui: “…è ammesso il trasferimento di dati personali o di un complesso di dati personali verso un paese estero quando lo stesso sia effettuato a partire da un registro che, a norma del diritto dell'Unione o degli Stati membri, mira a fornire informazioni al pubblico e può esser consultato tanto dal pubblico in generale quanto da chiunque sia in grado di dimostrare un legittimo interesse”. I dati personali dell’interessato vengono conservati per il tempo necessario al compimento delle attività legate alla gestione del rapporto instaurato e per gli adempimenti, anche di legge, che ne conseguono. Sono fatti salvi i casi in cui si renda necessario limitare il trattamento e/o applicare ulteriori garanzie a tutela della riservatezza dei dati personali trattati; nonché l’eventuale contenzioso se esso comporta una proroga dei termini predetti, per il tempo necessario al perseguimento della relativa finalità; ove espressamente previsto, sono fatti, altresì, salvi gli obblighi derivati da normative specifiche in tema di archiviazione per interesse pubblico (in applicazione dei piani di data retention propri del Titolare e del massimario di scarto, ai sensi del D.lgs. n. 42/2004). Le modalità e i termini di conservazione potranno essere adeguati anche al rischio presunto e/o rilevato per la riservatezza e l’integrità dei dati personali e dalle conseguenze pregiudizievoli che ne derivano, fatte salve le misure per rendere i dati anonimi o atte a limitarne il trattamento, nonché dagli obblighi in materia di sicurezza informatica derivati dalla normativa nazionale, anche tecnica. In ogni caso, i dati personali che ne siano interessati dovranno essere conservati (con decorrenza dalla conoscenza/rilevazione dell’evento di pericolo o di data breach) per il tempo necessario a procedere alla notificazione all’autorità garante della violazione dei dati rilevati mediante le procedure implementate dal Titolare e comunque a rimediarvi. </w:t>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5) I diritti dell’interessato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I diritti che sono riconosciuti all’interessato gli permettono di avere sempre il controllo dei suoi dati. I diritti dell’interessato sono quelli di: </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accesso; </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rettifica; </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cancellazione;</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limitazione del trattamento se applicabile;</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opposizione al trattamento se applicabile; </w:t>
      </w:r>
    </w:p>
    <w:p>
      <w:pPr>
        <w:pStyle w:val="Normal"/>
        <w:numPr>
          <w:ilvl w:val="0"/>
          <w:numId w:val="8"/>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portabilità se applicabile.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In sostanza l’interessato, in ogni momento e a titolo gratuito e senza oneri e formalità particolari per la sua richiesta, può: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ottenere la conferma del trattamento operato dal Titolare;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accedere ai propri dati personali e conoscerne l’origine quando i dati non sono ottenuti direttamente dall’interessato, le finalità e gli scopi del trattamento, i dati dei soggetti a cui essi sono comunicati, il periodo di conservazione dei suoi dati o i criteri utili per determinarlo;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aggiornare o rettificare i propri dati personali in modo che siano sempre esatti e accurati;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ottenere la cancellazione dei propri dati personali dalle banche dati e/o dagli archivi anche di backup nel caso, tra gli altri, in cui non siano più necessari per le finalità del trattamento o se questo si assume come illecito, e sempre se ne sussistano le condizioni previste per legge; e comunque se il trattamento non sia giustificato da un altro motivo ugualmente legittimo;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ottenere la limitazione del trattamento dei propri dati personali in talune circostanze, ad esempio laddove ne abbia contestato l’esattezza, per il periodo necessario al Titolare per verificarne l’accuratezza. L’interessato deve essere informato, in tempi congrui, anche di quando il periodo di sospensione si sia compiuto o la causa della limitazione del trattamento sia venuta meno, e quindi la limitazione stessa revocata; </w:t>
      </w:r>
    </w:p>
    <w:p>
      <w:pPr>
        <w:pStyle w:val="Normal"/>
        <w:numPr>
          <w:ilvl w:val="0"/>
          <w:numId w:val="9"/>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ottenere i propri dati personali, allorché ciò non sia escluso per la natura giuridica del Titolare, se il loro trattamento avvenga sulla base di un contratto e con strumenti automatizzati, in formato elettronico anche al fine di trasmetterli ad altro titolare del trattamento. Il Titolare dovrà procedere in tal senso senza ritardo e, comunque, al più tardi entro un mese dal ricevimento della richiesta dell’interessato. Il termine può essere prorogato di due mesi, se necessario, tenuto conto della complessità e del numero delle richieste ricevute. In tali casi, il Titolare, entro un mese dal ricevimento della sua richiesta, informerà l’interessato e lo metterà al corrente dei motivi della proroga.</w:t>
      </w:r>
    </w:p>
    <w:p>
      <w:pPr>
        <w:pStyle w:val="Normal"/>
        <w:spacing w:lineRule="auto" w:line="240" w:before="0" w:after="0"/>
        <w:jc w:val="both"/>
        <w:rPr/>
      </w:pPr>
      <w:r>
        <w:rPr>
          <w:rFonts w:cs="Times New Roman" w:ascii="Times New Roman" w:hAnsi="Times New Roman"/>
          <w:sz w:val="24"/>
          <w:szCs w:val="24"/>
        </w:rPr>
        <w:t>Per ogni ulteriore informazione e comunque per inviare la sua richiesta, l’interessato deve riferirsi a:</w:t>
      </w:r>
    </w:p>
    <w:p>
      <w:pPr>
        <w:pStyle w:val="Normal"/>
        <w:numPr>
          <w:ilvl w:val="0"/>
          <w:numId w:val="10"/>
        </w:numPr>
        <w:spacing w:lineRule="auto" w:line="240" w:before="0" w:after="0"/>
        <w:jc w:val="both"/>
        <w:rPr/>
      </w:pPr>
      <w:r>
        <w:rPr>
          <w:rFonts w:cs="Times New Roman" w:ascii="Times New Roman" w:hAnsi="Times New Roman"/>
          <w:b/>
          <w:bCs/>
          <w:sz w:val="24"/>
          <w:szCs w:val="24"/>
        </w:rPr>
        <w:t>Titolare del trattamento dei dati</w:t>
      </w:r>
      <w:r>
        <w:rPr>
          <w:rFonts w:cs="Times New Roman" w:ascii="Times New Roman" w:hAnsi="Times New Roman"/>
          <w:sz w:val="24"/>
          <w:szCs w:val="24"/>
        </w:rPr>
        <w:t xml:space="preserve">: </w:t>
      </w:r>
      <w:r>
        <w:rPr>
          <w:rFonts w:eastAsia="Times New Roman" w:cs="Times New Roman" w:ascii="Times New Roman" w:hAnsi="Times New Roman"/>
          <w:color w:val="auto"/>
          <w:sz w:val="24"/>
          <w:szCs w:val="24"/>
          <w:lang w:val="it-IT" w:bidi="ar-SA"/>
        </w:rPr>
        <w:t>Comune di Eraclea</w:t>
      </w:r>
      <w:r>
        <w:rPr>
          <w:rFonts w:cs="Times New Roman" w:ascii="Times New Roman" w:hAnsi="Times New Roman"/>
          <w:sz w:val="24"/>
          <w:szCs w:val="24"/>
        </w:rPr>
        <w:t xml:space="preserve"> </w:t>
      </w:r>
    </w:p>
    <w:p>
      <w:pPr>
        <w:pStyle w:val="Normal"/>
        <w:numPr>
          <w:ilvl w:val="0"/>
          <w:numId w:val="10"/>
        </w:numPr>
        <w:spacing w:lineRule="auto" w:line="240" w:before="0" w:after="0"/>
        <w:jc w:val="both"/>
        <w:rPr/>
      </w:pPr>
      <w:r>
        <w:rPr>
          <w:rFonts w:cs="Times New Roman" w:ascii="Times New Roman" w:hAnsi="Times New Roman"/>
          <w:b/>
          <w:bCs/>
          <w:sz w:val="24"/>
          <w:szCs w:val="24"/>
        </w:rPr>
        <w:t>Responsabile del trattamento dei dati</w:t>
      </w:r>
      <w:r>
        <w:rPr>
          <w:rFonts w:cs="Times New Roman" w:ascii="Times New Roman" w:hAnsi="Times New Roman"/>
          <w:sz w:val="24"/>
          <w:szCs w:val="24"/>
        </w:rPr>
        <w:t>: Responsabile del Servizio Servizi Demografici, i cui riferimenti sono riportati sul sito istituzionale dell’Ente www.comune..eraclea.ve.it, a cui è possibile rivolgersi per ogni informazione in merito all’uso dei dati personali.</w:t>
      </w:r>
    </w:p>
    <w:p>
      <w:pPr>
        <w:pStyle w:val="Normal"/>
        <w:numPr>
          <w:ilvl w:val="0"/>
          <w:numId w:val="10"/>
        </w:numPr>
        <w:spacing w:lineRule="auto" w:line="240" w:before="0" w:after="0"/>
        <w:jc w:val="both"/>
        <w:rPr/>
      </w:pPr>
      <w:r>
        <w:rPr>
          <w:rFonts w:cs="Times New Roman" w:ascii="Times New Roman" w:hAnsi="Times New Roman"/>
          <w:b/>
          <w:bCs/>
          <w:sz w:val="24"/>
          <w:szCs w:val="24"/>
        </w:rPr>
        <w:t>Responsabile della Protezione dei Dati</w:t>
      </w:r>
      <w:r>
        <w:rPr>
          <w:rFonts w:cs="Times New Roman" w:ascii="Times New Roman" w:hAnsi="Times New Roman"/>
          <w:sz w:val="24"/>
          <w:szCs w:val="24"/>
        </w:rPr>
        <w:t>: Il Responsabile della protezione dati (RDP-DPO) è il soggetto pubblicamente indicato per tutti gli interessati che abbiano questioni da porre, contattabile a</w:t>
      </w:r>
      <w:r>
        <w:rPr>
          <w:rFonts w:cs="Times New Roman" w:ascii="Times New Roman" w:hAnsi="Times New Roman"/>
          <w:sz w:val="24"/>
          <w:szCs w:val="24"/>
        </w:rPr>
        <w:t>i seguenti recapiti:</w:t>
      </w:r>
    </w:p>
    <w:p>
      <w:pPr>
        <w:pStyle w:val="Normal"/>
        <w:spacing w:lineRule="auto" w:line="240" w:before="0" w:after="0"/>
        <w:ind w:hanging="0" w:left="1416"/>
        <w:jc w:val="both"/>
        <w:rPr>
          <w:rFonts w:ascii="Times New Roman" w:hAnsi="Times New Roman" w:cs="Times New Roman"/>
          <w:sz w:val="24"/>
          <w:szCs w:val="24"/>
        </w:rPr>
      </w:pPr>
      <w:r>
        <w:rPr>
          <w:rFonts w:cs="Times New Roman" w:ascii="Times New Roman" w:hAnsi="Times New Roman"/>
          <w:sz w:val="24"/>
          <w:szCs w:val="24"/>
        </w:rPr>
        <w:t>Sede legale: Via Torino, 180/A – 30172 Venezia Mestre</w:t>
      </w:r>
    </w:p>
    <w:p>
      <w:pPr>
        <w:pStyle w:val="Normal"/>
        <w:spacing w:lineRule="auto" w:line="240" w:before="0" w:after="0"/>
        <w:ind w:hanging="0" w:left="1416"/>
        <w:jc w:val="both"/>
        <w:rPr>
          <w:rFonts w:ascii="Times New Roman" w:hAnsi="Times New Roman" w:cs="Times New Roman"/>
          <w:sz w:val="24"/>
          <w:szCs w:val="24"/>
        </w:rPr>
      </w:pPr>
      <w:r>
        <w:rPr>
          <w:rFonts w:cs="Times New Roman" w:ascii="Times New Roman" w:hAnsi="Times New Roman"/>
          <w:sz w:val="24"/>
          <w:szCs w:val="24"/>
        </w:rPr>
        <w:t xml:space="preserve">Indirizzo mail: dpo@veronicadeirossi.com </w:t>
      </w:r>
    </w:p>
    <w:p>
      <w:pPr>
        <w:pStyle w:val="Normal"/>
        <w:spacing w:lineRule="auto" w:line="240" w:before="0" w:after="0"/>
        <w:ind w:hanging="0" w:left="1416"/>
        <w:jc w:val="both"/>
        <w:rPr>
          <w:rFonts w:ascii="Times New Roman" w:hAnsi="Times New Roman" w:cs="Times New Roman"/>
          <w:sz w:val="24"/>
          <w:szCs w:val="24"/>
        </w:rPr>
      </w:pPr>
      <w:r>
        <w:rPr>
          <w:rFonts w:cs="Times New Roman" w:ascii="Times New Roman" w:hAnsi="Times New Roman"/>
          <w:sz w:val="24"/>
          <w:szCs w:val="24"/>
        </w:rPr>
        <w:t xml:space="preserve">Indirizzo pec: veronica.deirossi@venezia.pecavvocati.it </w:t>
      </w:r>
    </w:p>
    <w:p>
      <w:pPr>
        <w:pStyle w:val="Normal"/>
        <w:spacing w:lineRule="auto" w:line="240" w:before="0" w:after="0"/>
        <w:ind w:hanging="0" w:left="1416"/>
        <w:jc w:val="both"/>
        <w:rPr>
          <w:rFonts w:ascii="Times New Roman" w:hAnsi="Times New Roman" w:cs="Times New Roman"/>
          <w:sz w:val="24"/>
          <w:szCs w:val="24"/>
        </w:rPr>
      </w:pPr>
      <w:r>
        <w:rPr>
          <w:rFonts w:cs="Times New Roman" w:ascii="Times New Roman" w:hAnsi="Times New Roman"/>
          <w:sz w:val="24"/>
          <w:szCs w:val="24"/>
        </w:rPr>
        <w:t>Numero di telefono: 041 928221</w:t>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6) Il reclamo da parte dell’interessato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Fatta salva ogni altra azione in sede amministrativa o giudiziaria, allorché si ravvisino violazioni a suo discapito derivanti dal trattamento dei dati personali, l’interessato può presentare un reclamo all’autorità garante per la protezione dei dati personali (piazza di Monte Citorio, 121- 00186 Roma, www.garanteprivacy.it, Tel.06 696771, Fax 06 696773785, Email garante@gpdp.it, PEC cert.protocollo@pec.gpdp.it), a meno che non vi siano le condizioni o la violazione della normativa in materia di protezione dei dati personali avvenga in altro paese dell’Ue, nel qual caso la competenza a ricevere e conoscere il reclamo sarà delle autorità di controllo ivi stabilite. Ogni aggiornamento della presente informativa sarà comunicato all’interessato tempestivamente e mediante mezzi congrui e altrettanto gli sarà comunicato se il Titolare darà seguito al trattamento dei suoi dati per finalità ulteriori rispetto a quelle di cui alla presente informativa, prima di procedervi e per dar seguito agli adempimenti che ne conseguono.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________________________________________________________________________________</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b/>
          <w:bCs/>
          <w:i/>
          <w:i/>
          <w:iCs/>
          <w:sz w:val="24"/>
          <w:szCs w:val="24"/>
        </w:rPr>
      </w:pPr>
      <w:r>
        <w:rPr>
          <w:rFonts w:cs="Times New Roman" w:ascii="Times New Roman" w:hAnsi="Times New Roman"/>
          <w:b/>
          <w:bCs/>
          <w:i/>
          <w:iCs/>
          <w:sz w:val="24"/>
          <w:szCs w:val="24"/>
        </w:rPr>
        <w:t xml:space="preserve">Regolamento (UE) 2016/679 - Articolo 15 – (Diritto di accesso dell’interessato) </w:t>
      </w:r>
    </w:p>
    <w:p>
      <w:pPr>
        <w:pStyle w:val="Normal"/>
        <w:spacing w:lineRule="auto" w:line="240" w:before="0" w:after="0"/>
        <w:jc w:val="both"/>
        <w:rPr>
          <w:i/>
          <w:i/>
          <w:iCs/>
        </w:rPr>
      </w:pPr>
      <w:r>
        <w:rPr>
          <w:rFonts w:cs="Times New Roman" w:ascii="Times New Roman" w:hAnsi="Times New Roman"/>
          <w:i/>
          <w:iCs/>
          <w:sz w:val="24"/>
          <w:szCs w:val="24"/>
        </w:rPr>
        <w:t xml:space="preserve">1. L’interessato ha il diritto di ottenere dal titolare del trattamento la conferma che sia o meno in corso un trattamento di dati personali che lo riguardano e in tal caso, di ottenere l’accesso ai dati personali e alle seguenti informazioni: a) le finalità del trattamento; b) le categorie di dati personali in questione; c) i destinatari o le categorie di destinatari a cui i dati personali sono stati o saranno comunicati, in particolare se destinatari di paesi terzi o organizzazioni internazionali; d) quando possibile, il periodo di conservazione dei dati personali previsto oppure, se non è possibile, i criteri utilizzati per determinare tale periodo; e) l’esistenza del diritto dell’interessato di chiedere al titolare del trattamento la rettifica o la cancellazione dei dati personali o la limitazione del trattamento dei dati personali che lo riguardano o di opporsi al loro trattamento; f) il diritto di proporre reclamo a un’autorità di controllo; g) qualora i dati non siano raccolti presso l’interessato, tutte le informazioni disponibili sulla loro origine; h) l’esistenza di un processo decisionale automatizzato, compresa la profilazione di cui all’articolo 22, paragrafi 1 e 4, e, almeno in tali casi, informazioni significative sulla logica utilizzata, nonché l’importanza e le conseguenze previste di tale trattamento per l’interessato. 2. Qualora i dati personali siano trasferiti a un paese terzo o a un’organizzazione internazionale, l’interessato ha il diritto di essere informato dell’esistenza di garanzie adeguate ai sensi dell’articolo 46 relative al trasferimento. 3. Il titolare del trattamento fornisce una copia dei dati personali oggetto di trattamento. In caso di ulteriori copie richieste dall’interessato, il titolare del trattamento può addebitare un contributo spese ragionevole basato sui costi amministrativi. Se l’interessato presenta la richiesta mediante mezzi elettronici, e salvo indicazione diversa dell’interessato, le informazioni sono fornite in un formato elettronico di uso comune. 4. Il diritto di ottenere una copia di cui al paragrafo 3 non deve ledere i diritti e le libertà altrui </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_________________________,  lì ___ /___ /________                                        </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 </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________________________________________________ per attestazione di ricezione e presa visione </w:t>
      </w:r>
    </w:p>
    <w:p>
      <w:pPr>
        <w:pStyle w:val="Normal"/>
        <w:spacing w:lineRule="auto" w:line="240" w:before="0" w:after="0"/>
        <w:ind w:hanging="0" w:left="0" w:right="0"/>
        <w:jc w:val="both"/>
        <w:rPr>
          <w:rFonts w:ascii="Times New Roman" w:hAnsi="Times New Roman" w:cs="Times New Roman"/>
          <w:sz w:val="24"/>
          <w:szCs w:val="24"/>
        </w:rPr>
      </w:pPr>
      <w:r>
        <w:rPr>
          <w:rFonts w:cs="Times New Roman" w:ascii="Times New Roman" w:hAnsi="Times New Roman"/>
          <w:sz w:val="24"/>
          <w:szCs w:val="24"/>
        </w:rPr>
        <w:t xml:space="preserve"> </w:t>
      </w:r>
    </w:p>
    <w:sectPr>
      <w:type w:val="nextPage"/>
      <w:pgSz w:w="11906" w:h="16838"/>
      <w:pgMar w:left="1134" w:right="1134"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OpenSymbol">
    <w:altName w:val="Arial Unicode MS"/>
    <w:charset w:val="00"/>
    <w:family w:val="roman"/>
    <w:pitch w:val="variable"/>
  </w:font>
  <w:font w:name="Liberation Sans">
    <w:altName w:val="Arial"/>
    <w:charset w:val="00"/>
    <w:family w:val="swiss"/>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91"/>
        </w:tabs>
        <w:ind w:left="791" w:hanging="360"/>
      </w:pPr>
      <w:rPr>
        <w:rFonts w:ascii="Symbol" w:hAnsi="Symbol" w:cs="Symbol" w:hint="default"/>
      </w:rPr>
    </w:lvl>
    <w:lvl w:ilvl="1">
      <w:start w:val="1"/>
      <w:numFmt w:val="bullet"/>
      <w:lvlText w:val="◦"/>
      <w:lvlJc w:val="left"/>
      <w:pPr>
        <w:tabs>
          <w:tab w:val="num" w:pos="1151"/>
        </w:tabs>
        <w:ind w:left="1151" w:hanging="360"/>
      </w:pPr>
      <w:rPr>
        <w:rFonts w:ascii="OpenSymbol" w:hAnsi="OpenSymbol" w:cs="OpenSymbol" w:hint="default"/>
      </w:rPr>
    </w:lvl>
    <w:lvl w:ilvl="2">
      <w:start w:val="1"/>
      <w:numFmt w:val="bullet"/>
      <w:lvlText w:val="▪"/>
      <w:lvlJc w:val="left"/>
      <w:pPr>
        <w:tabs>
          <w:tab w:val="num" w:pos="1511"/>
        </w:tabs>
        <w:ind w:left="1511" w:hanging="360"/>
      </w:pPr>
      <w:rPr>
        <w:rFonts w:ascii="OpenSymbol" w:hAnsi="OpenSymbol" w:cs="OpenSymbol" w:hint="default"/>
      </w:rPr>
    </w:lvl>
    <w:lvl w:ilvl="3">
      <w:start w:val="1"/>
      <w:numFmt w:val="bullet"/>
      <w:lvlText w:val=""/>
      <w:lvlJc w:val="left"/>
      <w:pPr>
        <w:tabs>
          <w:tab w:val="num" w:pos="1871"/>
        </w:tabs>
        <w:ind w:left="1871" w:hanging="360"/>
      </w:pPr>
      <w:rPr>
        <w:rFonts w:ascii="Symbol" w:hAnsi="Symbol" w:cs="Symbol" w:hint="default"/>
      </w:rPr>
    </w:lvl>
    <w:lvl w:ilvl="4">
      <w:start w:val="1"/>
      <w:numFmt w:val="bullet"/>
      <w:lvlText w:val="◦"/>
      <w:lvlJc w:val="left"/>
      <w:pPr>
        <w:tabs>
          <w:tab w:val="num" w:pos="2231"/>
        </w:tabs>
        <w:ind w:left="2231" w:hanging="360"/>
      </w:pPr>
      <w:rPr>
        <w:rFonts w:ascii="OpenSymbol" w:hAnsi="OpenSymbol" w:cs="OpenSymbol" w:hint="default"/>
      </w:rPr>
    </w:lvl>
    <w:lvl w:ilvl="5">
      <w:start w:val="1"/>
      <w:numFmt w:val="bullet"/>
      <w:lvlText w:val="▪"/>
      <w:lvlJc w:val="left"/>
      <w:pPr>
        <w:tabs>
          <w:tab w:val="num" w:pos="2591"/>
        </w:tabs>
        <w:ind w:left="2591" w:hanging="360"/>
      </w:pPr>
      <w:rPr>
        <w:rFonts w:ascii="OpenSymbol" w:hAnsi="OpenSymbol" w:cs="OpenSymbol" w:hint="default"/>
      </w:rPr>
    </w:lvl>
    <w:lvl w:ilvl="6">
      <w:start w:val="1"/>
      <w:numFmt w:val="bullet"/>
      <w:lvlText w:val=""/>
      <w:lvlJc w:val="left"/>
      <w:pPr>
        <w:tabs>
          <w:tab w:val="num" w:pos="2951"/>
        </w:tabs>
        <w:ind w:left="2951" w:hanging="360"/>
      </w:pPr>
      <w:rPr>
        <w:rFonts w:ascii="Symbol" w:hAnsi="Symbol" w:cs="Symbol" w:hint="default"/>
      </w:rPr>
    </w:lvl>
    <w:lvl w:ilvl="7">
      <w:start w:val="1"/>
      <w:numFmt w:val="bullet"/>
      <w:lvlText w:val="◦"/>
      <w:lvlJc w:val="left"/>
      <w:pPr>
        <w:tabs>
          <w:tab w:val="num" w:pos="3311"/>
        </w:tabs>
        <w:ind w:left="3311" w:hanging="360"/>
      </w:pPr>
      <w:rPr>
        <w:rFonts w:ascii="OpenSymbol" w:hAnsi="OpenSymbol" w:cs="OpenSymbol" w:hint="default"/>
      </w:rPr>
    </w:lvl>
    <w:lvl w:ilvl="8">
      <w:start w:val="1"/>
      <w:numFmt w:val="bullet"/>
      <w:lvlText w:val="▪"/>
      <w:lvlJc w:val="left"/>
      <w:pPr>
        <w:tabs>
          <w:tab w:val="num" w:pos="3671"/>
        </w:tabs>
        <w:ind w:left="3671"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80"/>
        </w:tabs>
        <w:ind w:left="780" w:hanging="360"/>
      </w:pPr>
      <w:rPr>
        <w:rFonts w:ascii="Symbol" w:hAnsi="Symbol" w:cs="Symbol" w:hint="default"/>
      </w:rPr>
    </w:lvl>
    <w:lvl w:ilvl="1">
      <w:start w:val="1"/>
      <w:numFmt w:val="bullet"/>
      <w:lvlText w:val="◦"/>
      <w:lvlJc w:val="left"/>
      <w:pPr>
        <w:tabs>
          <w:tab w:val="num" w:pos="1140"/>
        </w:tabs>
        <w:ind w:left="1140" w:hanging="360"/>
      </w:pPr>
      <w:rPr>
        <w:rFonts w:ascii="OpenSymbol" w:hAnsi="OpenSymbol" w:cs="OpenSymbol" w:hint="default"/>
      </w:rPr>
    </w:lvl>
    <w:lvl w:ilvl="2">
      <w:start w:val="1"/>
      <w:numFmt w:val="bullet"/>
      <w:lvlText w:val="▪"/>
      <w:lvlJc w:val="left"/>
      <w:pPr>
        <w:tabs>
          <w:tab w:val="num" w:pos="1500"/>
        </w:tabs>
        <w:ind w:left="1500" w:hanging="360"/>
      </w:pPr>
      <w:rPr>
        <w:rFonts w:ascii="OpenSymbol" w:hAnsi="OpenSymbol" w:cs="OpenSymbol" w:hint="default"/>
      </w:rPr>
    </w:lvl>
    <w:lvl w:ilvl="3">
      <w:start w:val="1"/>
      <w:numFmt w:val="bullet"/>
      <w:lvlText w:val=""/>
      <w:lvlJc w:val="left"/>
      <w:pPr>
        <w:tabs>
          <w:tab w:val="num" w:pos="1860"/>
        </w:tabs>
        <w:ind w:left="1860" w:hanging="360"/>
      </w:pPr>
      <w:rPr>
        <w:rFonts w:ascii="Symbol" w:hAnsi="Symbol" w:cs="Symbol" w:hint="default"/>
      </w:rPr>
    </w:lvl>
    <w:lvl w:ilvl="4">
      <w:start w:val="1"/>
      <w:numFmt w:val="bullet"/>
      <w:lvlText w:val="◦"/>
      <w:lvlJc w:val="left"/>
      <w:pPr>
        <w:tabs>
          <w:tab w:val="num" w:pos="2220"/>
        </w:tabs>
        <w:ind w:left="2220" w:hanging="360"/>
      </w:pPr>
      <w:rPr>
        <w:rFonts w:ascii="OpenSymbol" w:hAnsi="OpenSymbol" w:cs="OpenSymbol" w:hint="default"/>
      </w:rPr>
    </w:lvl>
    <w:lvl w:ilvl="5">
      <w:start w:val="1"/>
      <w:numFmt w:val="bullet"/>
      <w:lvlText w:val="▪"/>
      <w:lvlJc w:val="left"/>
      <w:pPr>
        <w:tabs>
          <w:tab w:val="num" w:pos="2580"/>
        </w:tabs>
        <w:ind w:left="2580" w:hanging="360"/>
      </w:pPr>
      <w:rPr>
        <w:rFonts w:ascii="OpenSymbol" w:hAnsi="OpenSymbol" w:cs="OpenSymbol" w:hint="default"/>
      </w:rPr>
    </w:lvl>
    <w:lvl w:ilvl="6">
      <w:start w:val="1"/>
      <w:numFmt w:val="bullet"/>
      <w:lvlText w:val=""/>
      <w:lvlJc w:val="left"/>
      <w:pPr>
        <w:tabs>
          <w:tab w:val="num" w:pos="2940"/>
        </w:tabs>
        <w:ind w:left="2940" w:hanging="360"/>
      </w:pPr>
      <w:rPr>
        <w:rFonts w:ascii="Symbol" w:hAnsi="Symbol" w:cs="Symbol" w:hint="default"/>
      </w:rPr>
    </w:lvl>
    <w:lvl w:ilvl="7">
      <w:start w:val="1"/>
      <w:numFmt w:val="bullet"/>
      <w:lvlText w:val="◦"/>
      <w:lvlJc w:val="left"/>
      <w:pPr>
        <w:tabs>
          <w:tab w:val="num" w:pos="3300"/>
        </w:tabs>
        <w:ind w:left="3300" w:hanging="360"/>
      </w:pPr>
      <w:rPr>
        <w:rFonts w:ascii="OpenSymbol" w:hAnsi="OpenSymbol" w:cs="OpenSymbol" w:hint="default"/>
      </w:rPr>
    </w:lvl>
    <w:lvl w:ilvl="8">
      <w:start w:val="1"/>
      <w:numFmt w:val="bullet"/>
      <w:lvlText w:val="▪"/>
      <w:lvlJc w:val="left"/>
      <w:pPr>
        <w:tabs>
          <w:tab w:val="num" w:pos="3660"/>
        </w:tabs>
        <w:ind w:left="3660" w:hanging="360"/>
      </w:pPr>
      <w:rPr>
        <w:rFonts w:ascii="OpenSymbol" w:hAnsi="OpenSymbol" w:cs="OpenSymbol" w:hint="default"/>
      </w:rPr>
    </w:lvl>
  </w:abstractNum>
  <w:abstractNum w:abstractNumId="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it-IT" w:eastAsia="zh-CN" w:bidi="hi-IN"/>
      </w:rPr>
    </w:rPrDefault>
    <w:pPrDefault>
      <w:pPr>
        <w:suppressAutoHyphens w:val="true"/>
      </w:pPr>
    </w:pPrDefault>
  </w:docDefaults>
  <w:style w:type="paragraph" w:styleId="Normal">
    <w:name w:val="Normal"/>
    <w:qFormat/>
    <w:pPr>
      <w:widowControl/>
      <w:overflowPunct w:val="false"/>
      <w:bidi w:val="0"/>
      <w:spacing w:lineRule="auto" w:line="276" w:before="0" w:after="200"/>
      <w:jc w:val="left"/>
    </w:pPr>
    <w:rPr>
      <w:rFonts w:ascii="Calibri" w:hAnsi="Calibri" w:eastAsia="Times New Roman" w:cs="Calibri"/>
      <w:color w:val="auto"/>
      <w:kern w:val="0"/>
      <w:sz w:val="22"/>
      <w:szCs w:val="22"/>
      <w:lang w:val="it-IT" w:eastAsia="zh-CN" w:bidi="ar-SA"/>
    </w:rPr>
  </w:style>
  <w:style w:type="character" w:styleId="WW8Num1z0">
    <w:name w:val="WW8Num1z0"/>
    <w:qFormat/>
    <w:rPr>
      <w:rFonts w:ascii="Times New Roman" w:hAnsi="Times New Roman" w:cs="Times New Roman"/>
    </w:rPr>
  </w:style>
  <w:style w:type="character" w:styleId="WW8Num1z1">
    <w:name w:val="WW8Num1z1"/>
    <w:qFormat/>
    <w:rPr>
      <w:rFonts w:ascii="Times New Roman" w:hAnsi="Times New Roman" w:cs="Times New Roman"/>
    </w:rPr>
  </w:style>
  <w:style w:type="character" w:styleId="Carpredefinitoparagrafo">
    <w:name w:val="Car. predefinito paragrafo"/>
    <w:qFormat/>
    <w:rPr/>
  </w:style>
  <w:style w:type="character" w:styleId="CollegamentoInternetuser">
    <w:name w:val="Collegamento Internet (user)"/>
    <w:qFormat/>
    <w:rPr>
      <w:color w:val="000080"/>
      <w:u w:val="single"/>
      <w:lang w:val="zxx" w:eastAsia="zxx" w:bidi="zxx"/>
    </w:rPr>
  </w:style>
  <w:style w:type="character" w:styleId="Puntiuser">
    <w:name w:val="Punti (user)"/>
    <w:qFormat/>
    <w:rPr>
      <w:rFonts w:ascii="OpenSymbol" w:hAnsi="OpenSymbol" w:eastAsia="OpenSymbol" w:cs="OpenSymbol"/>
    </w:rPr>
  </w:style>
  <w:style w:type="character" w:styleId="Hyperlink">
    <w:name w:val="Hyperlink"/>
    <w:rPr>
      <w:color w:val="000080"/>
      <w:u w:val="single"/>
    </w:rPr>
  </w:style>
  <w:style w:type="paragraph" w:styleId="Titolo">
    <w:name w:val="Titolo"/>
    <w:basedOn w:val="Normal"/>
    <w:next w:val="BodyText"/>
    <w:qFormat/>
    <w:pPr>
      <w:keepNext w:val="true"/>
      <w:spacing w:before="240" w:after="120"/>
    </w:pPr>
    <w:rPr>
      <w:rFonts w:ascii="Liberation Sans" w:hAnsi="Liberation Sans" w:eastAsia="Microsoft YaHei"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Arial Unicode M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ListParagraph">
    <w:name w:val="List Paragraph"/>
    <w:basedOn w:val="Normal"/>
    <w:qFormat/>
    <w:pPr>
      <w:ind w:hanging="0" w:left="720" w:right="0"/>
    </w:pPr>
    <w:rPr/>
  </w:style>
  <w:style w:type="paragraph" w:styleId="Contenutotabellauser">
    <w:name w:val="Contenuto tabella (user)"/>
    <w:basedOn w:val="Normal"/>
    <w:qFormat/>
    <w:pPr>
      <w:suppressLineNumber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po@veronicadeirossi.com" TargetMode="External"/><Relationship Id="rId3" Type="http://schemas.openxmlformats.org/officeDocument/2006/relationships/hyperlink" Target="mailto:veronica.deirossi@venezia.pecavvocati.i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39</TotalTime>
  <Application>LibreOffice/25.2.6.2$Windows_X86_64 LibreOffice_project/729c5bfe710f5eb71ed3bbde9e06a6065e9c6c5d</Application>
  <AppVersion>15.0000</AppVersion>
  <Pages>5</Pages>
  <Words>2693</Words>
  <Characters>15606</Characters>
  <CharactersWithSpaces>18264</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2017-09-30T09:28:00Z</dcterms:created>
  <dc:creator>Eleonora Sovran</dc:creator>
  <dc:description/>
  <dc:language>it-IT</dc:language>
  <cp:lastModifiedBy/>
  <dcterms:modified xsi:type="dcterms:W3CDTF">2026-01-30T10:21:28Z</dcterms:modified>
  <cp:revision>13</cp:revision>
  <dc:subject/>
  <dc:title/>
</cp:coreProperties>
</file>